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3B571" w14:textId="77777777" w:rsidR="002645DA" w:rsidRPr="00ED64C3" w:rsidRDefault="002645DA" w:rsidP="002645DA">
      <w:pPr>
        <w:spacing w:line="440" w:lineRule="exact"/>
        <w:jc w:val="center"/>
        <w:rPr>
          <w:rFonts w:eastAsia="標楷體" w:hint="eastAsia"/>
          <w:b/>
          <w:sz w:val="32"/>
        </w:rPr>
      </w:pPr>
      <w:r w:rsidRPr="00ED64C3">
        <w:rPr>
          <w:rFonts w:eastAsia="標楷體" w:hint="eastAsia"/>
          <w:b/>
          <w:sz w:val="32"/>
        </w:rPr>
        <w:t>中華民國證券商業同業公會</w:t>
      </w:r>
    </w:p>
    <w:p w14:paraId="0C345D89" w14:textId="77777777" w:rsidR="002645DA" w:rsidRDefault="002645DA" w:rsidP="002645DA">
      <w:pPr>
        <w:spacing w:line="0" w:lineRule="atLeast"/>
        <w:jc w:val="center"/>
        <w:rPr>
          <w:rFonts w:eastAsia="標楷體" w:hint="eastAsia"/>
          <w:b/>
          <w:sz w:val="32"/>
        </w:rPr>
      </w:pPr>
      <w:r w:rsidRPr="00B30499">
        <w:rPr>
          <w:rFonts w:eastAsia="標楷體" w:hint="eastAsia"/>
          <w:b/>
          <w:sz w:val="32"/>
        </w:rPr>
        <w:t>會員金融友善服務準則實務作業問答集</w:t>
      </w:r>
    </w:p>
    <w:p w14:paraId="4FF50E10" w14:textId="6C6CF612" w:rsidR="002645DA" w:rsidRDefault="002645DA" w:rsidP="002645DA">
      <w:pPr>
        <w:spacing w:line="0" w:lineRule="atLeast"/>
        <w:jc w:val="center"/>
        <w:rPr>
          <w:rFonts w:eastAsia="標楷體" w:hint="eastAsia"/>
          <w:b/>
          <w:sz w:val="32"/>
        </w:rPr>
      </w:pPr>
      <w:r>
        <w:rPr>
          <w:rFonts w:eastAsia="標楷體" w:hint="eastAsia"/>
          <w:b/>
          <w:sz w:val="32"/>
        </w:rPr>
        <w:t>修正條文對照表</w:t>
      </w:r>
    </w:p>
    <w:p w14:paraId="072953FF" w14:textId="73A7C22E" w:rsidR="002645DA" w:rsidRDefault="002645DA" w:rsidP="002645DA">
      <w:pPr>
        <w:spacing w:line="0" w:lineRule="atLeast"/>
        <w:ind w:rightChars="-130" w:right="-312"/>
        <w:jc w:val="right"/>
        <w:rPr>
          <w:rFonts w:eastAsia="標楷體" w:hint="eastAsia"/>
          <w:szCs w:val="24"/>
        </w:rPr>
      </w:pPr>
      <w:r w:rsidRPr="003F6575">
        <w:rPr>
          <w:rFonts w:eastAsia="標楷體" w:hint="eastAsia"/>
          <w:szCs w:val="24"/>
        </w:rPr>
        <w:t>1</w:t>
      </w:r>
      <w:r>
        <w:rPr>
          <w:rFonts w:eastAsia="標楷體"/>
          <w:szCs w:val="24"/>
        </w:rPr>
        <w:t>11.1</w:t>
      </w:r>
      <w:r>
        <w:rPr>
          <w:rFonts w:eastAsia="標楷體"/>
          <w:szCs w:val="24"/>
        </w:rPr>
        <w:t>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244"/>
        <w:gridCol w:w="2977"/>
      </w:tblGrid>
      <w:tr w:rsidR="002645DA" w:rsidRPr="00442B43" w14:paraId="670631EC" w14:textId="77777777" w:rsidTr="00617A7A">
        <w:trPr>
          <w:tblHeader/>
        </w:trPr>
        <w:tc>
          <w:tcPr>
            <w:tcW w:w="3243" w:type="dxa"/>
          </w:tcPr>
          <w:p w14:paraId="5788202C" w14:textId="77777777" w:rsidR="002645DA" w:rsidRPr="00442B43" w:rsidRDefault="002645DA" w:rsidP="00617A7A">
            <w:pPr>
              <w:spacing w:before="100" w:beforeAutospacing="1" w:after="100" w:afterAutospacing="1" w:line="0" w:lineRule="atLeast"/>
              <w:jc w:val="center"/>
              <w:rPr>
                <w:rFonts w:eastAsia="標楷體" w:hint="eastAsia"/>
                <w:szCs w:val="24"/>
              </w:rPr>
            </w:pPr>
            <w:r w:rsidRPr="00442B43">
              <w:rPr>
                <w:rFonts w:ascii="標楷體" w:eastAsia="標楷體" w:hAnsi="標楷體" w:hint="eastAsia"/>
                <w:sz w:val="28"/>
              </w:rPr>
              <w:t>修正</w:t>
            </w:r>
            <w:r>
              <w:rPr>
                <w:rFonts w:ascii="標楷體" w:eastAsia="標楷體" w:hAnsi="標楷體" w:hint="eastAsia"/>
                <w:sz w:val="28"/>
              </w:rPr>
              <w:t>內容</w:t>
            </w:r>
          </w:p>
        </w:tc>
        <w:tc>
          <w:tcPr>
            <w:tcW w:w="3244" w:type="dxa"/>
          </w:tcPr>
          <w:p w14:paraId="1C471D37" w14:textId="77777777" w:rsidR="002645DA" w:rsidRPr="00442B43" w:rsidRDefault="002645DA" w:rsidP="00617A7A">
            <w:pPr>
              <w:spacing w:before="100" w:beforeAutospacing="1" w:after="100" w:afterAutospacing="1" w:line="0" w:lineRule="atLeast"/>
              <w:jc w:val="center"/>
              <w:rPr>
                <w:rFonts w:eastAsia="標楷體" w:hint="eastAsia"/>
                <w:szCs w:val="24"/>
              </w:rPr>
            </w:pPr>
            <w:r>
              <w:rPr>
                <w:rFonts w:ascii="標楷體" w:eastAsia="標楷體" w:hAnsi="標楷體" w:hint="eastAsia"/>
                <w:sz w:val="28"/>
              </w:rPr>
              <w:t>現行內容</w:t>
            </w:r>
          </w:p>
        </w:tc>
        <w:tc>
          <w:tcPr>
            <w:tcW w:w="2977" w:type="dxa"/>
          </w:tcPr>
          <w:p w14:paraId="6F3889AA" w14:textId="77777777" w:rsidR="002645DA" w:rsidRPr="00442B43" w:rsidRDefault="002645DA" w:rsidP="00617A7A">
            <w:pPr>
              <w:spacing w:before="100" w:beforeAutospacing="1" w:after="100" w:afterAutospacing="1" w:line="0" w:lineRule="atLeast"/>
              <w:jc w:val="center"/>
              <w:rPr>
                <w:rFonts w:eastAsia="標楷體" w:hint="eastAsia"/>
                <w:szCs w:val="24"/>
              </w:rPr>
            </w:pPr>
            <w:r w:rsidRPr="00442B43">
              <w:rPr>
                <w:rFonts w:ascii="標楷體" w:eastAsia="標楷體" w:hAnsi="標楷體" w:hint="eastAsia"/>
                <w:sz w:val="28"/>
              </w:rPr>
              <w:t>說     明</w:t>
            </w:r>
          </w:p>
        </w:tc>
      </w:tr>
      <w:tr w:rsidR="002645DA" w:rsidRPr="00442B43" w14:paraId="124E7920" w14:textId="77777777" w:rsidTr="00617A7A">
        <w:tc>
          <w:tcPr>
            <w:tcW w:w="3243" w:type="dxa"/>
          </w:tcPr>
          <w:p w14:paraId="73B60B9D" w14:textId="77777777" w:rsidR="002645DA" w:rsidRDefault="002645DA" w:rsidP="00617A7A">
            <w:pPr>
              <w:spacing w:before="100" w:beforeAutospacing="1" w:after="100" w:afterAutospacing="1" w:line="0" w:lineRule="atLeast"/>
              <w:ind w:left="708" w:hangingChars="253" w:hanging="708"/>
              <w:jc w:val="both"/>
              <w:rPr>
                <w:rFonts w:ascii="標楷體" w:eastAsia="標楷體" w:hAnsi="標楷體"/>
                <w:sz w:val="28"/>
              </w:rPr>
            </w:pPr>
            <w:r>
              <w:rPr>
                <w:rFonts w:ascii="標楷體" w:eastAsia="標楷體" w:hAnsi="標楷體" w:hint="eastAsia"/>
                <w:sz w:val="28"/>
              </w:rPr>
              <w:t>Q</w:t>
            </w:r>
            <w:r>
              <w:rPr>
                <w:rFonts w:ascii="標楷體" w:eastAsia="標楷體" w:hAnsi="標楷體"/>
                <w:sz w:val="28"/>
              </w:rPr>
              <w:t>21</w:t>
            </w:r>
            <w:r>
              <w:rPr>
                <w:rFonts w:ascii="標楷體" w:eastAsia="標楷體" w:hAnsi="標楷體" w:hint="eastAsia"/>
                <w:sz w:val="28"/>
              </w:rPr>
              <w:t>、證券商如提供得以網路下單或電子式交易之身心障礙投資人智慧型手機應用程式服務，應包含哪些功能項目？</w:t>
            </w:r>
          </w:p>
          <w:p w14:paraId="29E880EB" w14:textId="77777777" w:rsidR="002645DA" w:rsidRPr="00442B43" w:rsidRDefault="002645DA" w:rsidP="00617A7A">
            <w:pPr>
              <w:pStyle w:val="a3"/>
              <w:spacing w:line="0" w:lineRule="atLeast"/>
              <w:ind w:left="686" w:hangingChars="245" w:hanging="686"/>
              <w:jc w:val="both"/>
              <w:rPr>
                <w:rFonts w:ascii="標楷體" w:eastAsia="標楷體" w:hAnsi="標楷體" w:hint="eastAsia"/>
                <w:sz w:val="28"/>
              </w:rPr>
            </w:pPr>
            <w:r>
              <w:rPr>
                <w:rFonts w:ascii="標楷體" w:eastAsia="標楷體" w:hAnsi="標楷體" w:hint="eastAsia"/>
                <w:sz w:val="28"/>
              </w:rPr>
              <w:t>A</w:t>
            </w:r>
            <w:r>
              <w:rPr>
                <w:rFonts w:ascii="標楷體" w:eastAsia="標楷體" w:hAnsi="標楷體"/>
                <w:sz w:val="28"/>
              </w:rPr>
              <w:t>21</w:t>
            </w:r>
            <w:r>
              <w:rPr>
                <w:rFonts w:ascii="標楷體" w:eastAsia="標楷體" w:hAnsi="標楷體" w:hint="eastAsia"/>
                <w:sz w:val="28"/>
              </w:rPr>
              <w:t>、證券商如提供得以網路下單或電子式交易之身心障礙投資人智慧型手機應用程式服務，應包含電子下單（含報價功能）、查詢證券行情資訊及查詢集保證券庫存等功能項目。</w:t>
            </w:r>
          </w:p>
        </w:tc>
        <w:tc>
          <w:tcPr>
            <w:tcW w:w="3244" w:type="dxa"/>
          </w:tcPr>
          <w:p w14:paraId="57A68D03" w14:textId="77777777" w:rsidR="002645DA" w:rsidRPr="00442B43" w:rsidRDefault="002645DA" w:rsidP="00617A7A">
            <w:pPr>
              <w:spacing w:before="100" w:beforeAutospacing="1" w:after="100" w:afterAutospacing="1" w:line="0" w:lineRule="atLeast"/>
              <w:jc w:val="center"/>
              <w:rPr>
                <w:rFonts w:ascii="標楷體" w:eastAsia="標楷體" w:hAnsi="標楷體" w:hint="eastAsia"/>
                <w:sz w:val="28"/>
              </w:rPr>
            </w:pPr>
          </w:p>
        </w:tc>
        <w:tc>
          <w:tcPr>
            <w:tcW w:w="2977" w:type="dxa"/>
          </w:tcPr>
          <w:p w14:paraId="2B7C9D88" w14:textId="77777777" w:rsidR="002645DA" w:rsidRDefault="002645DA" w:rsidP="00617A7A">
            <w:pPr>
              <w:spacing w:before="100" w:beforeAutospacing="1" w:after="100" w:afterAutospacing="1" w:line="0" w:lineRule="atLeast"/>
              <w:rPr>
                <w:rFonts w:ascii="標楷體" w:eastAsia="標楷體" w:hAnsi="標楷體"/>
                <w:sz w:val="28"/>
                <w:u w:val="single"/>
              </w:rPr>
            </w:pPr>
            <w:r w:rsidRPr="0002195E">
              <w:rPr>
                <w:rFonts w:ascii="標楷體" w:eastAsia="標楷體" w:hAnsi="標楷體" w:hint="eastAsia"/>
                <w:sz w:val="28"/>
                <w:u w:val="single"/>
              </w:rPr>
              <w:t>一、本</w:t>
            </w:r>
            <w:r>
              <w:rPr>
                <w:rFonts w:ascii="標楷體" w:eastAsia="標楷體" w:hAnsi="標楷體" w:hint="eastAsia"/>
                <w:sz w:val="28"/>
                <w:u w:val="single"/>
              </w:rPr>
              <w:t>題</w:t>
            </w:r>
            <w:r w:rsidRPr="0002195E">
              <w:rPr>
                <w:rFonts w:ascii="標楷體" w:eastAsia="標楷體" w:hAnsi="標楷體" w:hint="eastAsia"/>
                <w:sz w:val="28"/>
                <w:u w:val="single"/>
              </w:rPr>
              <w:t>新增。</w:t>
            </w:r>
          </w:p>
          <w:p w14:paraId="66B44465" w14:textId="77777777" w:rsidR="002645DA" w:rsidRDefault="002645DA" w:rsidP="00617A7A">
            <w:pPr>
              <w:snapToGrid w:val="0"/>
              <w:spacing w:line="240" w:lineRule="atLeast"/>
              <w:ind w:left="549" w:hangingChars="196" w:hanging="549"/>
              <w:jc w:val="both"/>
              <w:rPr>
                <w:rFonts w:ascii="標楷體" w:eastAsia="標楷體" w:hAnsi="標楷體"/>
                <w:sz w:val="28"/>
                <w:u w:val="single"/>
              </w:rPr>
            </w:pPr>
            <w:r>
              <w:rPr>
                <w:rFonts w:ascii="標楷體" w:eastAsia="標楷體" w:hAnsi="標楷體" w:hint="eastAsia"/>
                <w:sz w:val="28"/>
                <w:u w:val="single"/>
              </w:rPr>
              <w:t>二、依據主管機關1</w:t>
            </w:r>
            <w:r>
              <w:rPr>
                <w:rFonts w:ascii="標楷體" w:eastAsia="標楷體" w:hAnsi="標楷體"/>
                <w:sz w:val="28"/>
                <w:u w:val="single"/>
              </w:rPr>
              <w:t>11</w:t>
            </w:r>
            <w:r>
              <w:rPr>
                <w:rFonts w:ascii="標楷體" w:eastAsia="標楷體" w:hAnsi="標楷體" w:hint="eastAsia"/>
                <w:sz w:val="28"/>
                <w:u w:val="single"/>
              </w:rPr>
              <w:t>年7月29日「現行身心障礙者透過智慧型手機可辦理之金融服務，及研議擴大可辦理之項目」會議決議，新增本題。</w:t>
            </w:r>
          </w:p>
          <w:p w14:paraId="2CB0B64D" w14:textId="77777777" w:rsidR="002645DA" w:rsidRPr="0002195E" w:rsidRDefault="002645DA" w:rsidP="00617A7A">
            <w:pPr>
              <w:snapToGrid w:val="0"/>
              <w:spacing w:line="240" w:lineRule="atLeast"/>
              <w:ind w:left="549" w:hangingChars="196" w:hanging="549"/>
              <w:jc w:val="both"/>
              <w:rPr>
                <w:rFonts w:ascii="標楷體" w:eastAsia="標楷體" w:hAnsi="標楷體" w:hint="eastAsia"/>
                <w:sz w:val="28"/>
                <w:u w:val="single"/>
              </w:rPr>
            </w:pPr>
            <w:r>
              <w:rPr>
                <w:rFonts w:ascii="標楷體" w:eastAsia="標楷體" w:hAnsi="標楷體" w:hint="eastAsia"/>
                <w:sz w:val="28"/>
                <w:u w:val="single"/>
              </w:rPr>
              <w:t>三、現行第2</w:t>
            </w:r>
            <w:r>
              <w:rPr>
                <w:rFonts w:ascii="標楷體" w:eastAsia="標楷體" w:hAnsi="標楷體"/>
                <w:sz w:val="28"/>
                <w:u w:val="single"/>
              </w:rPr>
              <w:t>1</w:t>
            </w:r>
            <w:r>
              <w:rPr>
                <w:rFonts w:ascii="標楷體" w:eastAsia="標楷體" w:hAnsi="標楷體" w:hint="eastAsia"/>
                <w:sz w:val="28"/>
                <w:u w:val="single"/>
              </w:rPr>
              <w:t>題至3</w:t>
            </w:r>
            <w:r>
              <w:rPr>
                <w:rFonts w:ascii="標楷體" w:eastAsia="標楷體" w:hAnsi="標楷體"/>
                <w:sz w:val="28"/>
                <w:u w:val="single"/>
              </w:rPr>
              <w:t>1</w:t>
            </w:r>
            <w:r>
              <w:rPr>
                <w:rFonts w:ascii="標楷體" w:eastAsia="標楷體" w:hAnsi="標楷體" w:hint="eastAsia"/>
                <w:sz w:val="28"/>
                <w:u w:val="single"/>
              </w:rPr>
              <w:t>題移列至第22題至32題。</w:t>
            </w:r>
          </w:p>
        </w:tc>
      </w:tr>
      <w:tr w:rsidR="002645DA" w:rsidRPr="00AD168B" w14:paraId="4955A863" w14:textId="77777777" w:rsidTr="00617A7A">
        <w:tc>
          <w:tcPr>
            <w:tcW w:w="3243" w:type="dxa"/>
          </w:tcPr>
          <w:p w14:paraId="6789693C" w14:textId="77777777" w:rsidR="002645DA" w:rsidRPr="00B30499" w:rsidRDefault="002645DA" w:rsidP="00617A7A">
            <w:pPr>
              <w:spacing w:before="100" w:beforeAutospacing="1" w:after="100" w:afterAutospacing="1" w:line="0" w:lineRule="atLeast"/>
              <w:ind w:left="708" w:hangingChars="253" w:hanging="708"/>
              <w:rPr>
                <w:rFonts w:ascii="標楷體" w:eastAsia="標楷體" w:hint="eastAsia"/>
                <w:sz w:val="28"/>
              </w:rPr>
            </w:pPr>
            <w:r w:rsidRPr="00B30499">
              <w:rPr>
                <w:rFonts w:ascii="標楷體" w:eastAsia="標楷體" w:hint="eastAsia"/>
                <w:sz w:val="28"/>
              </w:rPr>
              <w:t>Q</w:t>
            </w:r>
            <w:r w:rsidRPr="0002195E">
              <w:rPr>
                <w:rFonts w:ascii="標楷體" w:eastAsia="標楷體"/>
                <w:sz w:val="28"/>
                <w:u w:val="single"/>
              </w:rPr>
              <w:t>30</w:t>
            </w:r>
            <w:r w:rsidRPr="00B30499">
              <w:rPr>
                <w:rFonts w:ascii="標楷體" w:eastAsia="標楷體" w:hint="eastAsia"/>
                <w:sz w:val="28"/>
              </w:rPr>
              <w:t>、具何種資格條件之證券商，應於官網上提供公共資訊無障礙網頁專區公告友善金融相關措施？</w:t>
            </w:r>
          </w:p>
          <w:p w14:paraId="1D970DDF" w14:textId="43A5FC5C" w:rsidR="002645DA" w:rsidRPr="00E01603" w:rsidRDefault="002645DA" w:rsidP="00617A7A">
            <w:pPr>
              <w:pStyle w:val="a3"/>
              <w:spacing w:line="0" w:lineRule="atLeast"/>
              <w:ind w:left="686" w:hangingChars="245" w:hanging="686"/>
              <w:jc w:val="both"/>
              <w:rPr>
                <w:rFonts w:ascii="標楷體" w:eastAsia="標楷體" w:hAnsi="標楷體" w:hint="eastAsia"/>
                <w:b/>
                <w:color w:val="FF0000"/>
                <w:sz w:val="28"/>
                <w:szCs w:val="28"/>
              </w:rPr>
            </w:pPr>
            <w:r w:rsidRPr="00B30499">
              <w:rPr>
                <w:rFonts w:ascii="標楷體" w:eastAsia="標楷體" w:hint="eastAsia"/>
                <w:sz w:val="28"/>
              </w:rPr>
              <w:t>A</w:t>
            </w:r>
            <w:r w:rsidRPr="0002195E">
              <w:rPr>
                <w:rFonts w:ascii="標楷體" w:eastAsia="標楷體"/>
                <w:sz w:val="28"/>
                <w:u w:val="single"/>
              </w:rPr>
              <w:t>30</w:t>
            </w:r>
            <w:r w:rsidRPr="00B30499">
              <w:rPr>
                <w:rFonts w:ascii="標楷體" w:eastAsia="標楷體" w:hint="eastAsia"/>
                <w:sz w:val="28"/>
              </w:rPr>
              <w:t>、為遵照主管機關指示及</w:t>
            </w:r>
            <w:r w:rsidRPr="0002195E">
              <w:rPr>
                <w:rFonts w:ascii="標楷體" w:eastAsia="標楷體" w:hAnsi="標楷體" w:hint="eastAsia"/>
                <w:sz w:val="28"/>
              </w:rPr>
              <w:t>回應</w:t>
            </w:r>
            <w:r w:rsidRPr="00B30499">
              <w:rPr>
                <w:rFonts w:ascii="標楷體" w:eastAsia="標楷體" w:hint="eastAsia"/>
                <w:sz w:val="28"/>
              </w:rPr>
              <w:t>身心障礙團體需求，</w:t>
            </w:r>
            <w:r w:rsidRPr="00B30499">
              <w:rPr>
                <w:rFonts w:ascii="標楷體" w:eastAsia="標楷體" w:hAnsi="標楷體" w:hint="eastAsia"/>
                <w:sz w:val="28"/>
                <w:szCs w:val="28"/>
              </w:rPr>
              <w:t>本公會及</w:t>
            </w:r>
            <w:r w:rsidRPr="00384375">
              <w:rPr>
                <w:rFonts w:ascii="標楷體" w:eastAsia="標楷體" w:hAnsi="標楷體" w:hint="eastAsia"/>
                <w:sz w:val="28"/>
                <w:szCs w:val="28"/>
              </w:rPr>
              <w:t>資本額</w:t>
            </w:r>
            <w:r w:rsidRPr="00B0318E">
              <w:rPr>
                <w:rFonts w:ascii="標楷體" w:eastAsia="標楷體" w:hAnsi="標楷體"/>
                <w:sz w:val="28"/>
                <w:szCs w:val="28"/>
                <w:u w:val="single"/>
              </w:rPr>
              <w:t>40</w:t>
            </w:r>
            <w:r w:rsidRPr="00384375">
              <w:rPr>
                <w:rFonts w:ascii="標楷體" w:eastAsia="標楷體" w:hAnsi="標楷體" w:hint="eastAsia"/>
                <w:sz w:val="28"/>
                <w:szCs w:val="28"/>
              </w:rPr>
              <w:t>億元（含）</w:t>
            </w:r>
            <w:r w:rsidRPr="00B30499">
              <w:rPr>
                <w:rFonts w:ascii="標楷體" w:eastAsia="標楷體" w:hAnsi="標楷體" w:hint="eastAsia"/>
                <w:sz w:val="28"/>
                <w:szCs w:val="28"/>
              </w:rPr>
              <w:t>以上證券商，</w:t>
            </w:r>
            <w:r w:rsidRPr="00384375">
              <w:rPr>
                <w:rFonts w:ascii="標楷體" w:eastAsia="標楷體" w:hAnsi="標楷體" w:hint="eastAsia"/>
                <w:sz w:val="28"/>
                <w:szCs w:val="28"/>
              </w:rPr>
              <w:t>應於官網首頁上建置「無障礙金融友善服務專區」［</w:t>
            </w:r>
            <w:r w:rsidR="001C0D12" w:rsidRPr="001C0D12">
              <w:rPr>
                <w:rFonts w:ascii="標楷體" w:eastAsia="標楷體" w:hAnsi="標楷體" w:hint="eastAsia"/>
                <w:sz w:val="28"/>
                <w:szCs w:val="28"/>
                <w:u w:val="single"/>
              </w:rPr>
              <w:t>網站應通過數位發展部</w:t>
            </w:r>
            <w:r w:rsidR="001C0D12" w:rsidRPr="001C0D12">
              <w:rPr>
                <w:rFonts w:ascii="標楷體" w:eastAsia="標楷體" w:hAnsi="標楷體" w:hint="eastAsia"/>
                <w:sz w:val="28"/>
                <w:szCs w:val="28"/>
                <w:u w:val="single"/>
              </w:rPr>
              <w:lastRenderedPageBreak/>
              <w:t>「網站無障礙規範」檢測等級A以上之無障礙檢測，並取得認證標章</w:t>
            </w:r>
            <w:r w:rsidRPr="00384375">
              <w:rPr>
                <w:rFonts w:ascii="標楷體" w:eastAsia="標楷體" w:hAnsi="標楷體" w:hint="eastAsia"/>
                <w:sz w:val="28"/>
                <w:szCs w:val="28"/>
              </w:rPr>
              <w:t>］，公告友善金融服務措施相關訊息及客服專線，並提供相關連結以置放於本公會金融友善服務專區</w:t>
            </w:r>
            <w:r w:rsidRPr="00384375">
              <w:rPr>
                <w:rFonts w:ascii="標楷體" w:eastAsia="標楷體" w:hint="eastAsia"/>
                <w:sz w:val="28"/>
              </w:rPr>
              <w:t>。</w:t>
            </w:r>
          </w:p>
        </w:tc>
        <w:tc>
          <w:tcPr>
            <w:tcW w:w="3244" w:type="dxa"/>
          </w:tcPr>
          <w:p w14:paraId="46FBED24" w14:textId="77777777" w:rsidR="002645DA" w:rsidRPr="00B30499" w:rsidRDefault="002645DA" w:rsidP="00617A7A">
            <w:pPr>
              <w:spacing w:before="100" w:beforeAutospacing="1" w:after="100" w:afterAutospacing="1" w:line="0" w:lineRule="atLeast"/>
              <w:ind w:left="708" w:hangingChars="253" w:hanging="708"/>
              <w:rPr>
                <w:rFonts w:ascii="標楷體" w:eastAsia="標楷體" w:hint="eastAsia"/>
                <w:sz w:val="28"/>
              </w:rPr>
            </w:pPr>
            <w:r w:rsidRPr="00B30499">
              <w:rPr>
                <w:rFonts w:ascii="標楷體" w:eastAsia="標楷體" w:hint="eastAsia"/>
                <w:sz w:val="28"/>
              </w:rPr>
              <w:lastRenderedPageBreak/>
              <w:t>Q</w:t>
            </w:r>
            <w:r w:rsidRPr="00AE3C8F">
              <w:rPr>
                <w:rFonts w:ascii="標楷體" w:eastAsia="標楷體" w:hint="eastAsia"/>
                <w:sz w:val="28"/>
                <w:u w:val="single"/>
              </w:rPr>
              <w:t>29</w:t>
            </w:r>
            <w:r w:rsidRPr="00B30499">
              <w:rPr>
                <w:rFonts w:ascii="標楷體" w:eastAsia="標楷體" w:hint="eastAsia"/>
                <w:sz w:val="28"/>
              </w:rPr>
              <w:t>、具何種資格條件之證券商，應於官網上提供公共資訊無障礙網頁專區公告友善金融相關措施？</w:t>
            </w:r>
          </w:p>
          <w:p w14:paraId="49C562B5" w14:textId="77777777" w:rsidR="002645DA" w:rsidRPr="005772DC" w:rsidRDefault="002645DA" w:rsidP="00617A7A">
            <w:pPr>
              <w:pStyle w:val="a3"/>
              <w:spacing w:line="0" w:lineRule="atLeast"/>
              <w:ind w:left="689" w:hangingChars="246" w:hanging="689"/>
              <w:jc w:val="both"/>
              <w:rPr>
                <w:rFonts w:ascii="標楷體" w:eastAsia="標楷體" w:hint="eastAsia"/>
                <w:sz w:val="28"/>
              </w:rPr>
            </w:pPr>
            <w:r w:rsidRPr="00B30499">
              <w:rPr>
                <w:rFonts w:ascii="標楷體" w:eastAsia="標楷體" w:hint="eastAsia"/>
                <w:sz w:val="28"/>
              </w:rPr>
              <w:t>A</w:t>
            </w:r>
            <w:r w:rsidRPr="00AE3C8F">
              <w:rPr>
                <w:rFonts w:ascii="標楷體" w:eastAsia="標楷體" w:hint="eastAsia"/>
                <w:sz w:val="28"/>
                <w:u w:val="single"/>
              </w:rPr>
              <w:t>29</w:t>
            </w:r>
            <w:r w:rsidRPr="00B30499">
              <w:rPr>
                <w:rFonts w:ascii="標楷體" w:eastAsia="標楷體" w:hint="eastAsia"/>
                <w:sz w:val="28"/>
              </w:rPr>
              <w:t>、為遵照主管機關指示及回應身心障礙團體需求，</w:t>
            </w:r>
            <w:r w:rsidRPr="00B30499">
              <w:rPr>
                <w:rFonts w:ascii="標楷體" w:eastAsia="標楷體" w:hAnsi="標楷體" w:hint="eastAsia"/>
                <w:sz w:val="28"/>
                <w:szCs w:val="28"/>
              </w:rPr>
              <w:t>本公會及</w:t>
            </w:r>
            <w:r w:rsidRPr="00384375">
              <w:rPr>
                <w:rFonts w:ascii="標楷體" w:eastAsia="標楷體" w:hAnsi="標楷體" w:hint="eastAsia"/>
                <w:sz w:val="28"/>
                <w:szCs w:val="28"/>
              </w:rPr>
              <w:t>資本額</w:t>
            </w:r>
            <w:r w:rsidRPr="00384375">
              <w:rPr>
                <w:rFonts w:ascii="標楷體" w:eastAsia="標楷體" w:hAnsi="標楷體"/>
                <w:sz w:val="28"/>
                <w:szCs w:val="28"/>
                <w:u w:val="single"/>
              </w:rPr>
              <w:t>50</w:t>
            </w:r>
            <w:r w:rsidRPr="00384375">
              <w:rPr>
                <w:rFonts w:ascii="標楷體" w:eastAsia="標楷體" w:hAnsi="標楷體" w:hint="eastAsia"/>
                <w:sz w:val="28"/>
                <w:szCs w:val="28"/>
              </w:rPr>
              <w:t>億元（含）以上證券商，應於官網首頁上建置「無障礙金融友善服務專區」［</w:t>
            </w:r>
            <w:r w:rsidRPr="001C0D12">
              <w:rPr>
                <w:rFonts w:ascii="標楷體" w:eastAsia="標楷體" w:hAnsi="標楷體" w:hint="eastAsia"/>
                <w:sz w:val="28"/>
                <w:szCs w:val="28"/>
                <w:u w:val="single"/>
              </w:rPr>
              <w:t>網站應通過國家通訊傳</w:t>
            </w:r>
            <w:r w:rsidRPr="001C0D12">
              <w:rPr>
                <w:rFonts w:ascii="標楷體" w:eastAsia="標楷體" w:hAnsi="標楷體" w:hint="eastAsia"/>
                <w:sz w:val="28"/>
                <w:szCs w:val="28"/>
                <w:u w:val="single"/>
              </w:rPr>
              <w:lastRenderedPageBreak/>
              <w:t>播委員會「無障礙網頁開發規範</w:t>
            </w:r>
            <w:r w:rsidRPr="001C0D12">
              <w:rPr>
                <w:rFonts w:ascii="標楷體" w:eastAsia="標楷體" w:hAnsi="標楷體"/>
                <w:sz w:val="28"/>
                <w:szCs w:val="28"/>
                <w:u w:val="single"/>
              </w:rPr>
              <w:t>2.0</w:t>
            </w:r>
            <w:r w:rsidRPr="001C0D12">
              <w:rPr>
                <w:rFonts w:ascii="標楷體" w:eastAsia="標楷體" w:hAnsi="標楷體" w:hint="eastAsia"/>
                <w:sz w:val="28"/>
                <w:szCs w:val="28"/>
                <w:u w:val="single"/>
              </w:rPr>
              <w:t>版」第一優先等級（即檢測等級</w:t>
            </w:r>
            <w:r w:rsidRPr="001C0D12">
              <w:rPr>
                <w:rFonts w:ascii="標楷體" w:eastAsia="標楷體" w:hAnsi="標楷體"/>
                <w:sz w:val="28"/>
                <w:szCs w:val="28"/>
                <w:u w:val="single"/>
              </w:rPr>
              <w:t>A</w:t>
            </w:r>
            <w:r w:rsidRPr="001C0D12">
              <w:rPr>
                <w:rFonts w:ascii="標楷體" w:eastAsia="標楷體" w:hAnsi="標楷體" w:hint="eastAsia"/>
                <w:sz w:val="28"/>
                <w:szCs w:val="28"/>
                <w:u w:val="single"/>
              </w:rPr>
              <w:t>）以上之無障礙檢測，並取得認證標章</w:t>
            </w:r>
            <w:r w:rsidRPr="00384375">
              <w:rPr>
                <w:rFonts w:ascii="標楷體" w:eastAsia="標楷體" w:hAnsi="標楷體" w:hint="eastAsia"/>
                <w:sz w:val="28"/>
                <w:szCs w:val="28"/>
              </w:rPr>
              <w:t>］，公告友善金融服務措施相關訊息及客服專線，並提供相關連結以置放於本公會金融友善服務專區</w:t>
            </w:r>
            <w:r w:rsidRPr="00384375">
              <w:rPr>
                <w:rFonts w:ascii="標楷體" w:eastAsia="標楷體" w:hint="eastAsia"/>
                <w:sz w:val="28"/>
              </w:rPr>
              <w:t>。</w:t>
            </w:r>
          </w:p>
        </w:tc>
        <w:tc>
          <w:tcPr>
            <w:tcW w:w="2977" w:type="dxa"/>
          </w:tcPr>
          <w:p w14:paraId="3468916C" w14:textId="77777777" w:rsidR="002645DA" w:rsidRDefault="002645DA" w:rsidP="00617A7A">
            <w:pPr>
              <w:spacing w:before="100" w:beforeAutospacing="1" w:after="100" w:afterAutospacing="1" w:line="0" w:lineRule="atLeast"/>
              <w:rPr>
                <w:rFonts w:ascii="標楷體" w:eastAsia="標楷體" w:hAnsi="標楷體"/>
                <w:sz w:val="28"/>
                <w:szCs w:val="28"/>
              </w:rPr>
            </w:pPr>
            <w:r>
              <w:rPr>
                <w:rFonts w:ascii="標楷體" w:eastAsia="標楷體" w:hAnsi="標楷體" w:hint="eastAsia"/>
                <w:sz w:val="28"/>
                <w:szCs w:val="28"/>
              </w:rPr>
              <w:lastRenderedPageBreak/>
              <w:t>一、題次變更。</w:t>
            </w:r>
          </w:p>
          <w:p w14:paraId="2A9FA3A5" w14:textId="77777777" w:rsidR="002645DA" w:rsidRPr="005B45A0" w:rsidRDefault="002645DA" w:rsidP="00617A7A">
            <w:pPr>
              <w:snapToGrid w:val="0"/>
              <w:spacing w:line="240" w:lineRule="atLeast"/>
              <w:ind w:left="549" w:hangingChars="196" w:hanging="549"/>
              <w:jc w:val="both"/>
              <w:rPr>
                <w:rFonts w:ascii="標楷體" w:eastAsia="標楷體" w:hAnsi="標楷體" w:hint="eastAsia"/>
                <w:sz w:val="28"/>
                <w:szCs w:val="28"/>
              </w:rPr>
            </w:pPr>
            <w:r>
              <w:rPr>
                <w:rFonts w:ascii="標楷體" w:eastAsia="標楷體" w:hAnsi="標楷體" w:hint="eastAsia"/>
                <w:sz w:val="28"/>
                <w:szCs w:val="28"/>
              </w:rPr>
              <w:t>二、依據「1</w:t>
            </w:r>
            <w:r>
              <w:rPr>
                <w:rFonts w:ascii="標楷體" w:eastAsia="標楷體" w:hAnsi="標楷體"/>
                <w:sz w:val="28"/>
                <w:szCs w:val="28"/>
              </w:rPr>
              <w:t>10</w:t>
            </w:r>
            <w:r>
              <w:rPr>
                <w:rFonts w:ascii="標楷體" w:eastAsia="標楷體" w:hAnsi="標楷體" w:hint="eastAsia"/>
                <w:sz w:val="28"/>
                <w:szCs w:val="28"/>
              </w:rPr>
              <w:t>年</w:t>
            </w:r>
            <w:r w:rsidRPr="00880ACA">
              <w:rPr>
                <w:rFonts w:ascii="標楷體" w:eastAsia="標楷體" w:hAnsi="標楷體" w:hint="eastAsia"/>
                <w:sz w:val="28"/>
                <w:szCs w:val="28"/>
              </w:rPr>
              <w:t>金管會我國普惠金融衡量指標</w:t>
            </w:r>
            <w:r>
              <w:rPr>
                <w:rFonts w:ascii="標楷體" w:eastAsia="標楷體" w:hAnsi="標楷體" w:hint="eastAsia"/>
                <w:sz w:val="28"/>
                <w:szCs w:val="28"/>
              </w:rPr>
              <w:t>」預計達成目標，證券期貨業公司官網升級為無障礙網頁之資格條件，由資本額50億元（含）以上擴大至資本額40億元（含）以上之證券商，爰配合修正相關內容。</w:t>
            </w:r>
          </w:p>
        </w:tc>
      </w:tr>
    </w:tbl>
    <w:p w14:paraId="7629C7B0" w14:textId="77777777" w:rsidR="002645DA" w:rsidRPr="005B45A0" w:rsidRDefault="002645DA" w:rsidP="002645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hAnsi="標楷體" w:hint="eastAsia"/>
          <w:szCs w:val="32"/>
        </w:rPr>
      </w:pPr>
    </w:p>
    <w:p w14:paraId="786B4C2B" w14:textId="77777777" w:rsidR="00A20163" w:rsidRPr="002645DA" w:rsidRDefault="00A20163">
      <w:pPr>
        <w:spacing w:before="180"/>
      </w:pPr>
    </w:p>
    <w:sectPr w:rsidR="00A20163" w:rsidRPr="002645DA" w:rsidSect="000B32F6">
      <w:pgSz w:w="11906" w:h="16838"/>
      <w:pgMar w:top="1361" w:right="1361" w:bottom="1440"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DA"/>
    <w:rsid w:val="001C0D12"/>
    <w:rsid w:val="002645DA"/>
    <w:rsid w:val="003327CE"/>
    <w:rsid w:val="00522E10"/>
    <w:rsid w:val="008E522A"/>
    <w:rsid w:val="00A20163"/>
    <w:rsid w:val="00A75841"/>
    <w:rsid w:val="00B031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E1E6"/>
  <w15:chartTrackingRefBased/>
  <w15:docId w15:val="{B36C7035-3C10-41DB-9AE1-8B91C3A0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標楷體" w:hAnsi="Calibri" w:cstheme="minorBidi"/>
        <w:kern w:val="2"/>
        <w:sz w:val="28"/>
        <w:szCs w:val="22"/>
        <w:lang w:val="en-US" w:eastAsia="zh-TW" w:bidi="ar-SA"/>
      </w:rPr>
    </w:rPrDefault>
    <w:pPrDefault>
      <w:pPr>
        <w:spacing w:line="4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5DA"/>
    <w:pPr>
      <w:widowControl w:val="0"/>
      <w:spacing w:line="240" w:lineRule="auto"/>
    </w:pPr>
    <w:rPr>
      <w:rFonts w:ascii="Times New Roman" w:eastAsia="新細明體" w:hAnsi="Times New Roman" w:cs="Times New Roman"/>
      <w:sz w:val="24"/>
      <w:szCs w:val="20"/>
    </w:rPr>
  </w:style>
  <w:style w:type="paragraph" w:styleId="1">
    <w:name w:val="heading 1"/>
    <w:basedOn w:val="a"/>
    <w:next w:val="a"/>
    <w:link w:val="10"/>
    <w:uiPriority w:val="9"/>
    <w:qFormat/>
    <w:rsid w:val="00A75841"/>
    <w:pPr>
      <w:keepNext/>
      <w:widowControl/>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1"/>
    <w:link w:val="12"/>
    <w:qFormat/>
    <w:rsid w:val="008E522A"/>
    <w:pPr>
      <w:snapToGrid w:val="0"/>
      <w:spacing w:before="0" w:after="0" w:line="440" w:lineRule="atLeast"/>
    </w:pPr>
    <w:rPr>
      <w:bCs w:val="0"/>
      <w:sz w:val="32"/>
    </w:rPr>
  </w:style>
  <w:style w:type="character" w:customStyle="1" w:styleId="12">
    <w:name w:val="樣式1 字元"/>
    <w:basedOn w:val="10"/>
    <w:link w:val="11"/>
    <w:rsid w:val="008E522A"/>
    <w:rPr>
      <w:rFonts w:asciiTheme="majorHAnsi" w:eastAsiaTheme="majorEastAsia" w:hAnsiTheme="majorHAnsi" w:cstheme="majorBidi"/>
      <w:b/>
      <w:bCs w:val="0"/>
      <w:kern w:val="52"/>
      <w:sz w:val="32"/>
      <w:szCs w:val="52"/>
    </w:rPr>
  </w:style>
  <w:style w:type="character" w:customStyle="1" w:styleId="10">
    <w:name w:val="標題 1 字元"/>
    <w:basedOn w:val="a0"/>
    <w:link w:val="1"/>
    <w:uiPriority w:val="9"/>
    <w:rsid w:val="00A75841"/>
    <w:rPr>
      <w:rFonts w:asciiTheme="majorHAnsi" w:eastAsiaTheme="majorEastAsia" w:hAnsiTheme="majorHAnsi" w:cstheme="majorBidi"/>
      <w:b/>
      <w:bCs/>
      <w:kern w:val="52"/>
      <w:sz w:val="52"/>
      <w:szCs w:val="52"/>
    </w:rPr>
  </w:style>
  <w:style w:type="paragraph" w:styleId="a3">
    <w:name w:val="List"/>
    <w:basedOn w:val="a"/>
    <w:semiHidden/>
    <w:rsid w:val="002645DA"/>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龔世芬</dc:creator>
  <cp:keywords/>
  <dc:description/>
  <cp:lastModifiedBy>龔世芬</cp:lastModifiedBy>
  <cp:revision>4</cp:revision>
  <dcterms:created xsi:type="dcterms:W3CDTF">2022-12-12T01:24:00Z</dcterms:created>
  <dcterms:modified xsi:type="dcterms:W3CDTF">2022-12-12T01:49:00Z</dcterms:modified>
</cp:coreProperties>
</file>